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GREEN: insieme per una città sostenibile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2022-3-IT03-KA154-YOU-000093660)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16.41357421875" w:lineRule="auto"/>
        <w:ind w:right="102.22900390625"/>
        <w:jc w:val="both"/>
        <w:rPr/>
      </w:pPr>
      <w:r w:rsidDel="00000000" w:rsidR="00000000" w:rsidRPr="00000000">
        <w:rPr>
          <w:rtl w:val="0"/>
        </w:rPr>
        <w:t xml:space="preserve">Il progetto GREEN si pone un duplice obiettivo: quello di promuovere la partecipazione giovanile e quello di contribuire allo sviluppo di soluzioni innovative per la sostenibilità ambientale.  GREEN nasce dall’esigenza di creare iniziative per i giovani e spazi di aggregazione che favoriscano lo scambio di idee e l’aggregazione giovanile. GREEN è rivolto ai giovani tra i 17 e i 26 anni con forte interesse per la tematica ambientale e l’intersezione con le nuove tecnologie, l’obiettivo è creare uno spazio dove incontrarsi e confrontarsi con il fine di aumentare la partecipazione. Le donne sono sotto-rappresentate sia nelle materie STEM che all’interno della politica, per favorire una società più equa e bilanciata si presterà attenzione al bilanciamento di genere e sarà garantita la presenza almeno del 40% di donne.</w:t>
      </w:r>
    </w:p>
    <w:p w:rsidR="00000000" w:rsidDel="00000000" w:rsidP="00000000" w:rsidRDefault="00000000" w:rsidRPr="00000000" w14:paraId="00000007">
      <w:pPr>
        <w:widowControl w:val="0"/>
        <w:spacing w:before="216.41357421875" w:lineRule="auto"/>
        <w:ind w:right="102.22900390625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L’applicant è Perlatecnica, un’associazione no profit che nasce proprio a Maddaloni e che si occupa di migliorare l'alfabetizzazione digitale e promuovere l'innovazione tecnologica tra i giovani. Grazie alla sua esperienza nel campo realizzerà delle attività finalizzate al confronto tra i giovani sulle tematiche ambientali che porterà allo sviluppo di soluzioni atte a ridurre l’impatto dell’urbanizzazione sul pianeta, quindi tutti quei fattori che riguardano trasporti e mobilità, gestione e distribuzione dell’energia, gestione e monitoraggio ambientale, sicurezza urbana, gestione dei rifiuti, manutenzione degli edifici pubblici e l’implementazione di sistemi di comunicazione e informazione.</w:t>
      </w:r>
    </w:p>
    <w:p w:rsidR="00000000" w:rsidDel="00000000" w:rsidP="00000000" w:rsidRDefault="00000000" w:rsidRPr="00000000" w14:paraId="00000008">
      <w:pPr>
        <w:widowControl w:val="0"/>
        <w:spacing w:before="216.41357421875" w:lineRule="auto"/>
        <w:ind w:right="102.22900390625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Attraverso questo percorso i partecipanti avranno l’opportunità di sviluppare competenze digitali e tecniche e competenze legate alla capacità di creare un ambiente basato sulla cooperazione e sulla partecipazione attiva. Per raggiungere gli gli obiettivi del progetto saranno realizzate tre attività:</w:t>
      </w:r>
    </w:p>
    <w:p w:rsidR="00000000" w:rsidDel="00000000" w:rsidP="00000000" w:rsidRDefault="00000000" w:rsidRPr="00000000" w14:paraId="00000009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1.Workshop online </w:t>
      </w:r>
      <w:r w:rsidDel="00000000" w:rsidR="00000000" w:rsidRPr="00000000">
        <w:rPr>
          <w:highlight w:val="white"/>
          <w:rtl w:val="0"/>
        </w:rPr>
        <w:t xml:space="preserve">in cui partecipanti provenienti da diversi contesti e diversi territori si confronteranno su una tematica comune e di interesse europeo: la sostenibilità ambientale. Si realizzeranno in totale 4 incontri della durata di 2 ore ciascuno che verteranno sui seguenti argomenti: sviluppo sostenibile; inquinamento atmosferico; mobilità sostenibile; smart city.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2.Hackathon (Roobopoli).</w:t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seconda attività del progetto è un hackathon della durata di 5 giorni realizzato a Trento. Il periodo previsto per la realizzazione dell’hackathon è maggio. L’obiettivo è stimolare la partecipazione e lo sviluppo di competenze digitali attraverso un approccio collaborativo e pratico. I 41 partecipanti saranno divisi in team, organizzati inserendo all’interno giovani con competenze informatiche e giovani con competenze in campo architettonico, artistico, alla green economy e al settore ambientale, in modo da favorire attraverso la peer education lo sviluppo di competenze digitali All’interno di ogni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-387186</wp:posOffset>
            </wp:positionH>
            <wp:positionV relativeFrom="paragraph">
              <wp:posOffset>1399828</wp:posOffset>
            </wp:positionV>
            <wp:extent cx="6504748" cy="853613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4748" cy="853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gruppo ci sarà un presentatore, un programmatore e un designer. I partecipanti saranno chiamati a programmare e a sviluppare idee di impatto e altamente innovative, progetti,  servizi e/o strumenti volti a incontrare le esigenze internazionali e a presentare soluzioni sostenibili seguendo le tematiche dell’evento.</w:t>
      </w:r>
    </w:p>
    <w:p w:rsidR="00000000" w:rsidDel="00000000" w:rsidP="00000000" w:rsidRDefault="00000000" w:rsidRPr="00000000" w14:paraId="00000012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3.Evento di sensibilizzazione</w:t>
      </w:r>
    </w:p>
    <w:p w:rsidR="00000000" w:rsidDel="00000000" w:rsidP="00000000" w:rsidRDefault="00000000" w:rsidRPr="00000000" w14:paraId="00000014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L’ultima attività sarà realizzata in parte online e in parte a Maddaloni in provincia di Caserta. I partecipanti saranno parte attiva della sensibilizzazione sulle tematiche ambientali, sui risultati raggiunti dal progetto e saranno supportati nella condivisione delle proprie idee con i rappresentanti politici. </w:t>
      </w:r>
    </w:p>
    <w:p w:rsidR="00000000" w:rsidDel="00000000" w:rsidP="00000000" w:rsidRDefault="00000000" w:rsidRPr="00000000" w14:paraId="0000001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 termine del progetto sarà dato a tutti partecipanti un attestato di partecipazione e lo youthpass relativo alle competenze sviluppate.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-387186</wp:posOffset>
            </wp:positionH>
            <wp:positionV relativeFrom="paragraph">
              <wp:posOffset>5758762</wp:posOffset>
            </wp:positionV>
            <wp:extent cx="6504748" cy="8536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4748" cy="853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ind w:left="-708.6614173228347" w:firstLine="42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ind w:right="-1032.9921259842508"/>
      <w:jc w:val="right"/>
      <w:rPr>
        <w:color w:val="1c5fbb"/>
        <w:sz w:val="26"/>
        <w:szCs w:val="26"/>
      </w:rPr>
    </w:pPr>
    <w:r w:rsidDel="00000000" w:rsidR="00000000" w:rsidRPr="00000000">
      <w:rPr>
        <w:b w:val="1"/>
        <w:highlight w:val="white"/>
      </w:rPr>
      <w:pict>
        <v:shape id="WordPictureWatermark1" style="position:absolute;width:451.27559055118115pt;height:638.170257738339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4.jpg"/>
        </v:shape>
      </w:pict>
    </w:r>
    <w:r w:rsidDel="00000000" w:rsidR="00000000" w:rsidRPr="00000000">
      <w:rPr>
        <w:color w:val="1c5fbb"/>
        <w:sz w:val="26"/>
        <w:szCs w:val="26"/>
        <w:rtl w:val="0"/>
      </w:rPr>
      <w:t xml:space="preserve">2022-3-IT03-KA154-YOU-000093660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-571499</wp:posOffset>
          </wp:positionH>
          <wp:positionV relativeFrom="paragraph">
            <wp:posOffset>238125</wp:posOffset>
          </wp:positionV>
          <wp:extent cx="2644304" cy="547688"/>
          <wp:effectExtent b="0" l="0" r="0" t="0"/>
          <wp:wrapNone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4304" cy="547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3486150</wp:posOffset>
          </wp:positionH>
          <wp:positionV relativeFrom="paragraph">
            <wp:posOffset>238125</wp:posOffset>
          </wp:positionV>
          <wp:extent cx="2876535" cy="605586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76535" cy="60558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ind w:right="-1032.9921259842508"/>
      <w:jc w:val="right"/>
      <w:rPr>
        <w:color w:val="1c5fbb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r83TLbX3JnCTmCkFaTKP8c76Tw==">AMUW2mVs2BsvWWOPfHP+QDaGWVv/aUc8eZejAH/EeiZDX7Rxt1KNztDmzNNMCf9k9X6K7KObjYkf4uuiuEkqPyKojcA5ud37WilzJNh4y6lIZ5sWHvFPtco=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