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084" w:rsidRDefault="00693F03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78734C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28 gennaio</w:t>
      </w: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2020</w:t>
      </w:r>
    </w:p>
    <w:p w:rsidR="00627084" w:rsidRDefault="00693F03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:rsidR="00627084" w:rsidRDefault="0062708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:rsidR="00627084" w:rsidRDefault="0062708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:rsidR="00627084" w:rsidRDefault="00627084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:rsidR="00627084" w:rsidRDefault="00693F03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6"/>
          <w:szCs w:val="56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56"/>
          <w:szCs w:val="56"/>
          <w:lang w:val="it-IT"/>
        </w:rPr>
        <w:t>Società digitale: FBK si aggiudica 7 progetti europei nel 2021</w:t>
      </w:r>
    </w:p>
    <w:p w:rsidR="00627084" w:rsidRDefault="00693F03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</w:t>
      </w:r>
    </w:p>
    <w:p w:rsidR="00627084" w:rsidRDefault="00693F03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(v.l.)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Sette progetti scientifici internazionali per un finanziamento </w:t>
      </w:r>
      <w:r w:rsidR="006A7B25">
        <w:rPr>
          <w:rFonts w:ascii="Arial" w:eastAsia="Arial" w:hAnsi="Arial" w:cs="Arial"/>
          <w:color w:val="000000"/>
          <w:sz w:val="28"/>
          <w:szCs w:val="28"/>
          <w:lang w:val="it-IT"/>
        </w:rPr>
        <w:t>europeo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alla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Fondazione Bruno Kessler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di quasi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3 milioni di euro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.</w:t>
      </w:r>
    </w:p>
    <w:p w:rsidR="00627084" w:rsidRDefault="00693F03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Parte in quarta l’attività di ricerca 2021 del centro </w:t>
      </w:r>
      <w:hyperlink r:id="rId7">
        <w:r>
          <w:rPr>
            <w:rStyle w:val="Collegamentoipertestuale"/>
            <w:rFonts w:ascii="Arial" w:eastAsia="Arial" w:hAnsi="Arial" w:cs="Arial"/>
            <w:b/>
            <w:sz w:val="28"/>
            <w:szCs w:val="28"/>
            <w:lang w:val="it-IT"/>
          </w:rPr>
          <w:t>Digital Society</w:t>
        </w:r>
      </w:hyperlink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nato con la </w:t>
      </w:r>
      <w:hyperlink r:id="rId8">
        <w:r>
          <w:rPr>
            <w:rStyle w:val="Collegamentoipertestuale"/>
            <w:rFonts w:ascii="Arial" w:eastAsia="Arial" w:hAnsi="Arial" w:cs="Arial"/>
            <w:sz w:val="28"/>
            <w:szCs w:val="28"/>
            <w:lang w:val="it-IT"/>
          </w:rPr>
          <w:t>nuova organizzazione</w:t>
        </w:r>
      </w:hyperlink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della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Fondazione Bruno Kessler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 dedicato alle tecnologie digitali che stanno ridisegnando la nostra società.</w:t>
      </w:r>
    </w:p>
    <w:p w:rsidR="00627084" w:rsidRDefault="00693F03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Fra gennaio e aprile partiranno i progetti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lang w:val="it-IT"/>
        </w:rPr>
        <w:t>AI@EDGE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,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INTERLINK,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lang w:val="it-IT"/>
        </w:rPr>
        <w:t xml:space="preserve">KID_ACTION, </w:t>
      </w:r>
      <w:r>
        <w:rPr>
          <w:rFonts w:ascii="Arial" w:eastAsia="Arial" w:hAnsi="Arial" w:cs="Arial"/>
          <w:bCs/>
          <w:color w:val="000000"/>
          <w:sz w:val="28"/>
          <w:szCs w:val="28"/>
          <w:lang w:val="it-IT"/>
        </w:rPr>
        <w:t xml:space="preserve">coordinati a livello europeo proprio dal centro di ricerca trentino, e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lang w:val="it-IT"/>
        </w:rPr>
        <w:t>MARVEL, ODEUROPA, PROTECTOR, DINoS5G,</w:t>
      </w:r>
      <w:r>
        <w:rPr>
          <w:rFonts w:ascii="Arial" w:eastAsia="Arial" w:hAnsi="Arial" w:cs="Arial"/>
          <w:bCs/>
          <w:color w:val="000000"/>
          <w:sz w:val="28"/>
          <w:szCs w:val="28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cui FBK parteciperà con importanti realtà nazionali ed internazionali.</w:t>
      </w:r>
    </w:p>
    <w:p w:rsidR="00627084" w:rsidRDefault="00693F03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Si tratta di progetti alla frontiera della ricerca, che grazie anche all’applicazione dell’intelligenza artificiale e delle tecnologie 5G, svilupperanno innovazioni in diversi ambiti della società come la sicurezza urbana, la prevenzione del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  <w:lang w:val="it-IT"/>
        </w:rPr>
        <w:t>cyberbullismo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it-IT"/>
        </w:rPr>
        <w:t>, la digitalizzazione della PA, la valorizzazione del patrimonio culturale</w:t>
      </w:r>
      <w:r w:rsidR="00F01D66">
        <w:rPr>
          <w:rFonts w:ascii="Arial" w:eastAsia="Arial" w:hAnsi="Arial" w:cs="Arial"/>
          <w:color w:val="000000"/>
          <w:sz w:val="28"/>
          <w:szCs w:val="28"/>
          <w:lang w:val="it-IT"/>
        </w:rPr>
        <w:t>,</w:t>
      </w:r>
      <w:bookmarkStart w:id="0" w:name="_GoBack"/>
      <w:bookmarkEnd w:id="0"/>
      <w:r>
        <w:rPr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e per i quali</w:t>
      </w:r>
      <w:r>
        <w:rPr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FBK riceverà</w:t>
      </w:r>
      <w:r>
        <w:rPr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un finanziamento europeo complessivo di </w:t>
      </w:r>
      <w:r w:rsidR="00921BC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circa </w:t>
      </w:r>
      <w:r w:rsidR="00001756" w:rsidRPr="00001756">
        <w:rPr>
          <w:rFonts w:ascii="Arial" w:eastAsia="Arial" w:hAnsi="Arial" w:cs="Arial"/>
          <w:color w:val="000000"/>
          <w:sz w:val="28"/>
          <w:szCs w:val="28"/>
          <w:lang w:val="it-IT"/>
        </w:rPr>
        <w:t>2.893.</w:t>
      </w:r>
      <w:r w:rsidRPr="00D02948">
        <w:rPr>
          <w:rFonts w:ascii="Arial" w:eastAsia="Arial" w:hAnsi="Arial" w:cs="Arial"/>
          <w:color w:val="000000"/>
          <w:sz w:val="28"/>
          <w:szCs w:val="28"/>
          <w:lang w:val="it-IT"/>
        </w:rPr>
        <w:t>000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euro.</w:t>
      </w:r>
    </w:p>
    <w:p w:rsidR="00627084" w:rsidRDefault="00693F03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“Ottenere questi progetti europei”, sottolinea </w:t>
      </w: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Marco Pistore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, direttore del centro Digital Society, “è un grande risultato con un duplice significato: viene premiato il forte lavoro svolto lo scorso anno con tutti i colleghi in vista del lancio del centro Digital Society della FBK e viene confermato quanto sia importante</w:t>
      </w:r>
      <w:r>
        <w:rPr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riuscire a combinare la ricerca avanzata sulle tecnologie innovative con l’impatto in ambiti chiave per la società, anche per eccellere a livello europeo.”</w:t>
      </w:r>
    </w:p>
    <w:p w:rsidR="00627084" w:rsidRDefault="00693F03">
      <w:pPr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Per maggiori informazioni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:  </w:t>
      </w:r>
      <w:hyperlink r:id="rId9">
        <w:r>
          <w:rPr>
            <w:rStyle w:val="Collegamentoipertestuale"/>
            <w:rFonts w:ascii="Arial" w:eastAsia="Arial" w:hAnsi="Arial" w:cs="Arial"/>
            <w:sz w:val="28"/>
            <w:szCs w:val="28"/>
            <w:lang w:val="it-IT"/>
          </w:rPr>
          <w:t>Centro Digital Society</w:t>
        </w:r>
      </w:hyperlink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– FBK</w:t>
      </w:r>
    </w:p>
    <w:p w:rsidR="00627084" w:rsidRDefault="00693F0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it-IT"/>
        </w:rPr>
        <w:lastRenderedPageBreak/>
        <w:t>I PROGETTI:</w:t>
      </w:r>
    </w:p>
    <w:p w:rsidR="00627084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Arial" w:eastAsia="Times New Roman" w:hAnsi="Arial" w:cs="Arial"/>
          <w:b/>
          <w:bCs/>
          <w:color w:val="000000"/>
          <w:lang w:eastAsia="it-IT"/>
        </w:rPr>
        <w:t>AI@EDGE</w:t>
      </w:r>
    </w:p>
    <w:p w:rsidR="00627084" w:rsidRDefault="00693F03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>A secure and reusable Artificial Intelligence platform for Edge computing in beyond 5G Networks</w:t>
      </w:r>
    </w:p>
    <w:p w:rsidR="00627084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lang w:val="it-IT" w:eastAsia="it-IT"/>
        </w:rPr>
        <w:t>Coordinato da FBK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u w:val="single"/>
          <w:lang w:val="it-IT" w:eastAsia="it-IT"/>
        </w:rPr>
        <w:t>Finanziamento Ue a FBK</w:t>
      </w:r>
      <w:r>
        <w:rPr>
          <w:rFonts w:ascii="Arial" w:eastAsia="Times New Roman" w:hAnsi="Arial" w:cs="Arial"/>
          <w:color w:val="000000"/>
          <w:lang w:val="it-IT" w:eastAsia="it-IT"/>
        </w:rPr>
        <w:t>: €</w:t>
      </w:r>
      <w:r w:rsidR="00AA7C01">
        <w:rPr>
          <w:rFonts w:ascii="Arial" w:eastAsia="Times New Roman" w:hAnsi="Arial" w:cs="Arial"/>
          <w:color w:val="000000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lang w:val="it-IT" w:eastAsia="it-IT"/>
        </w:rPr>
        <w:t>642,750,00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lang w:val="it-IT" w:eastAsia="it-IT"/>
        </w:rPr>
        <w:t>L'intelligenza artificiale è diventata una grande forza innovativa ed è uno dei pilastri della quarta rivoluzione industriale. Il progetto è dedicato in particolare all'accuratezza e alle prestazioni delle piattaforme abilitate all'IA, alla loro integrazione in sistemi decisionali potenzialmente autonomi. Questa sfida verrà affrontata sfruttando il concetto di "IA riutilizzabile, sicura e affidabile per l'automazione della rete". Le industrie europee, gli accademici e le PMI innovative si impegnano a ottenere un impatto a livello di UE sugli aspetti rilevanti per il settore dei paradigmi AI-for-networks e networks-for-AI nelle reti oltre il 5G.</w:t>
      </w:r>
    </w:p>
    <w:p w:rsidR="00627084" w:rsidRDefault="0062708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627084" w:rsidRDefault="00627084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val="it-IT" w:eastAsia="it-IT"/>
        </w:rPr>
      </w:pPr>
    </w:p>
    <w:p w:rsidR="00627084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>INTERLINK </w:t>
      </w:r>
    </w:p>
    <w:p w:rsidR="00627084" w:rsidRDefault="00693F03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 xml:space="preserve">Innovating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it-IT"/>
        </w:rPr>
        <w:t>goverNment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it-IT"/>
        </w:rPr>
        <w:t xml:space="preserve"> and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it-IT"/>
        </w:rPr>
        <w:t>ciTizen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it-IT"/>
        </w:rPr>
        <w:t xml:space="preserve"> co-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it-IT"/>
        </w:rPr>
        <w:t>dEliveRy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it-IT"/>
        </w:rPr>
        <w:t xml:space="preserve"> for the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it-IT"/>
        </w:rPr>
        <w:t>digitaL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it-IT"/>
        </w:rPr>
        <w:t>sINgle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it-IT"/>
        </w:rPr>
        <w:t xml:space="preserve"> market</w:t>
      </w:r>
    </w:p>
    <w:p w:rsidR="00627084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lang w:val="it-IT" w:eastAsia="it-IT"/>
        </w:rPr>
        <w:t>Coordinato da FBK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u w:val="single"/>
          <w:lang w:val="it-IT" w:eastAsia="it-IT"/>
        </w:rPr>
        <w:t>Finanziamento Ue a FBK</w:t>
      </w:r>
      <w:r>
        <w:rPr>
          <w:rFonts w:ascii="Arial" w:eastAsia="Times New Roman" w:hAnsi="Arial" w:cs="Arial"/>
          <w:color w:val="000000"/>
          <w:lang w:val="it-IT" w:eastAsia="it-IT"/>
        </w:rPr>
        <w:t>: €</w:t>
      </w:r>
      <w:r w:rsidR="00AA7C01">
        <w:rPr>
          <w:rFonts w:ascii="Arial" w:eastAsia="Times New Roman" w:hAnsi="Arial" w:cs="Arial"/>
          <w:color w:val="000000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lang w:val="it-IT" w:eastAsia="it-IT"/>
        </w:rPr>
        <w:t>687,000.00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lang w:val="it-IT" w:eastAsia="it-IT"/>
        </w:rPr>
        <w:t xml:space="preserve">Il progetto mira a superare le barriere che impediscono alle pubbliche amministrazioni di riutilizzare e condividere servizi con cittadini e imprese sviluppando un nuovo modello di </w:t>
      </w:r>
      <w:proofErr w:type="spellStart"/>
      <w:r>
        <w:rPr>
          <w:rFonts w:ascii="Arial" w:eastAsia="Times New Roman" w:hAnsi="Arial" w:cs="Arial"/>
          <w:color w:val="000000"/>
          <w:lang w:val="it-IT" w:eastAsia="it-IT"/>
        </w:rPr>
        <w:t>governance</w:t>
      </w:r>
      <w:proofErr w:type="spellEnd"/>
      <w:r>
        <w:rPr>
          <w:rFonts w:ascii="Arial" w:eastAsia="Times New Roman" w:hAnsi="Arial" w:cs="Arial"/>
          <w:color w:val="000000"/>
          <w:lang w:val="it-IT" w:eastAsia="it-IT"/>
        </w:rPr>
        <w:t xml:space="preserve"> collaborativa e una serie di strumenti tecnologici che forniranno le funzionalità di base necessarie per consentire agli attori privati ​​di cooperare nell'erogazione di un servizio. Il progetto sperimenterà la coproduzione di servizi tra PA e privati in tre casi d'uso all'interno delle PA partner: il Ministero italiano dell'Economia e delle Finanze, il Ministero lettone dello Sviluppo Regionale e la Città di Saragozza.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</w:p>
    <w:p w:rsidR="00627084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lang w:val="it-IT" w:eastAsia="it-IT"/>
        </w:rPr>
        <w:t>KID_ACTION</w:t>
      </w:r>
    </w:p>
    <w:p w:rsidR="00627084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lang w:val="it-IT" w:eastAsia="it-IT"/>
        </w:rPr>
        <w:t>Coordinato da FBK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u w:val="single"/>
          <w:lang w:val="it-IT" w:eastAsia="it-IT"/>
        </w:rPr>
        <w:t>Finanziamento Ue a FBK</w:t>
      </w:r>
      <w:r>
        <w:rPr>
          <w:rFonts w:ascii="Arial" w:eastAsia="Times New Roman" w:hAnsi="Arial" w:cs="Arial"/>
          <w:color w:val="000000"/>
          <w:lang w:val="it-IT" w:eastAsia="it-IT"/>
        </w:rPr>
        <w:t>: €</w:t>
      </w:r>
      <w:r w:rsidR="00AA7C01">
        <w:rPr>
          <w:rFonts w:ascii="Arial" w:eastAsia="Times New Roman" w:hAnsi="Arial" w:cs="Arial"/>
          <w:color w:val="000000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lang w:val="it-IT" w:eastAsia="it-IT"/>
        </w:rPr>
        <w:t>188,320.00</w:t>
      </w:r>
    </w:p>
    <w:p w:rsidR="00627084" w:rsidRDefault="00693F03">
      <w:pPr>
        <w:suppressAutoHyphens w:val="0"/>
        <w:spacing w:after="0" w:line="240" w:lineRule="auto"/>
        <w:rPr>
          <w:rFonts w:ascii="Arial" w:eastAsia="Times New Roman" w:hAnsi="Arial" w:cs="Arial"/>
          <w:color w:val="222222"/>
          <w:highlight w:val="white"/>
          <w:lang w:val="it-IT" w:eastAsia="it-IT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Il progetto ha lo scopo di prevenire e lottare contro il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cyberbullismo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tra bambini e adolescenti attraverso l'educazione interattiva e la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gamification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, all'interno di contesti di apprendimento formale e non-formale in 10 Paesi europei. Il progetto, che durerà 2 anni a partire da gennaio 2021 ed è co-finanziato dal REC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Programme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del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Directorate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-General for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Justice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and Consumers della Commissione europea. </w:t>
      </w:r>
      <w:proofErr w:type="gram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E’</w:t>
      </w:r>
      <w:proofErr w:type="gram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coordinato dalla Fondazione Bruno Kessler e include tra i partner la Provincia autonoma di Trento, Amnesty International Italia,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European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Schoolnet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(Belgio) e Youth for Exchange and </w:t>
      </w:r>
      <w:proofErr w:type="spell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Understanding</w:t>
      </w:r>
      <w:proofErr w:type="spell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(Belgio). </w:t>
      </w:r>
    </w:p>
    <w:p w:rsidR="00627084" w:rsidRDefault="00627084">
      <w:pPr>
        <w:suppressAutoHyphens w:val="0"/>
        <w:spacing w:after="0" w:line="240" w:lineRule="auto"/>
        <w:rPr>
          <w:rFonts w:ascii="Arial" w:eastAsia="Times New Roman" w:hAnsi="Arial" w:cs="Arial"/>
          <w:color w:val="222222"/>
          <w:highlight w:val="white"/>
          <w:lang w:val="it-IT" w:eastAsia="it-IT"/>
        </w:rPr>
      </w:pPr>
    </w:p>
    <w:p w:rsidR="00627084" w:rsidRDefault="00627084">
      <w:pPr>
        <w:suppressAutoHyphens w:val="0"/>
        <w:spacing w:after="0" w:line="240" w:lineRule="auto"/>
        <w:rPr>
          <w:rFonts w:ascii="Arial" w:eastAsia="Times New Roman" w:hAnsi="Arial" w:cs="Arial"/>
          <w:color w:val="222222"/>
          <w:highlight w:val="white"/>
          <w:lang w:val="it-IT" w:eastAsia="it-IT"/>
        </w:rPr>
      </w:pPr>
    </w:p>
    <w:p w:rsidR="00627084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>MARVEL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>MULTIMODAL EXTREME SCALE DATA ANALYTICS FOR SMART CITIES ENVIRONMENTS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u w:val="single"/>
          <w:lang w:val="it-IT" w:eastAsia="it-IT"/>
        </w:rPr>
        <w:t>Finanziamento Ue a FBK</w:t>
      </w:r>
      <w:r>
        <w:rPr>
          <w:rFonts w:ascii="Arial" w:eastAsia="Times New Roman" w:hAnsi="Arial" w:cs="Arial"/>
          <w:color w:val="000000"/>
          <w:lang w:val="it-IT" w:eastAsia="it-IT"/>
        </w:rPr>
        <w:t>: €</w:t>
      </w:r>
      <w:r w:rsidR="00AA7C01">
        <w:rPr>
          <w:rFonts w:ascii="Arial" w:eastAsia="Times New Roman" w:hAnsi="Arial" w:cs="Arial"/>
          <w:color w:val="000000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lang w:val="it-IT" w:eastAsia="it-IT"/>
        </w:rPr>
        <w:t>377,500.00</w:t>
      </w:r>
    </w:p>
    <w:p w:rsidR="00627084" w:rsidRDefault="00693F03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lang w:val="it-IT" w:eastAsia="it-IT"/>
        </w:rPr>
      </w:pPr>
      <w:r>
        <w:rPr>
          <w:rFonts w:ascii="Arial" w:eastAsia="Times New Roman" w:hAnsi="Arial" w:cs="Arial"/>
          <w:color w:val="000000"/>
          <w:lang w:val="it-IT" w:eastAsia="it-IT"/>
        </w:rPr>
        <w:t xml:space="preserve">Il progetto svilupperà un rivoluzionario </w:t>
      </w:r>
      <w:proofErr w:type="spellStart"/>
      <w:r>
        <w:rPr>
          <w:rFonts w:ascii="Arial" w:eastAsia="Times New Roman" w:hAnsi="Arial" w:cs="Arial"/>
          <w:color w:val="000000"/>
          <w:lang w:val="it-IT" w:eastAsia="it-IT"/>
        </w:rPr>
        <w:t>framework</w:t>
      </w:r>
      <w:proofErr w:type="spellEnd"/>
      <w:r>
        <w:rPr>
          <w:rFonts w:ascii="Arial" w:eastAsia="Times New Roman" w:hAnsi="Arial" w:cs="Arial"/>
          <w:color w:val="000000"/>
          <w:lang w:val="it-IT" w:eastAsia="it-IT"/>
        </w:rPr>
        <w:t xml:space="preserve"> che consente la percezione e l'intelligenza multimodale per il riconoscimento di scene audiovisive e il rilevamento di eventi in un ambiente di città 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lang w:val="it-IT" w:eastAsia="it-IT"/>
        </w:rPr>
        <w:lastRenderedPageBreak/>
        <w:t>intelligente. L’obiettivo è analizzare ed estrarre dati dai flussi audiovisivi multimodali di una Smart City e aiutare i responsabili delle decisioni a migliorare la qualità della vita e dei servizi ai cittadini senza violare i limiti etici e di privacy. 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</w:p>
    <w:p w:rsidR="00627084" w:rsidRPr="004504AC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it-IT"/>
        </w:rPr>
      </w:pPr>
      <w:r w:rsidRPr="004504AC">
        <w:rPr>
          <w:rFonts w:ascii="Arial" w:eastAsia="Times New Roman" w:hAnsi="Arial" w:cs="Arial"/>
          <w:b/>
          <w:bCs/>
          <w:color w:val="000000"/>
          <w:lang w:eastAsia="it-IT"/>
        </w:rPr>
        <w:t>ODEUROPA 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>Negotiating Olfactory and Sensory Experiences in Cultural Heritage Practice and Research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u w:val="single"/>
          <w:lang w:val="it-IT" w:eastAsia="it-IT"/>
        </w:rPr>
        <w:t>Finanziamento Ue a FBK</w:t>
      </w:r>
      <w:r>
        <w:rPr>
          <w:rFonts w:ascii="Arial" w:eastAsia="Times New Roman" w:hAnsi="Arial" w:cs="Arial"/>
          <w:color w:val="000000"/>
          <w:lang w:val="it-IT" w:eastAsia="it-IT"/>
        </w:rPr>
        <w:t>: €</w:t>
      </w:r>
      <w:r w:rsidR="00AA7C01">
        <w:rPr>
          <w:rFonts w:ascii="Arial" w:eastAsia="Times New Roman" w:hAnsi="Arial" w:cs="Arial"/>
          <w:color w:val="000000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lang w:val="it-IT" w:eastAsia="it-IT"/>
        </w:rPr>
        <w:t>306,450.00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gramStart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>E’</w:t>
      </w:r>
      <w:proofErr w:type="gramEnd"/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t xml:space="preserve"> la prima iniziativa europea ad utilizzare l’intelligenza artificiale (AI) per studiare l’importanza dei profumi e dell’odorato e per scoprire come gli odori hanno plasmato le nostre comunità e tradizioni. Sarà creato un archivio virtuale degli odori e del loro significato, realizzato da esperti del web semantico e storici della cultura, e messo a disposizione di tutti.</w:t>
      </w:r>
      <w:r>
        <w:rPr>
          <w:rFonts w:ascii="Arial" w:eastAsia="Times New Roman" w:hAnsi="Arial" w:cs="Arial"/>
          <w:color w:val="222222"/>
          <w:shd w:val="clear" w:color="auto" w:fill="FFFFFF"/>
          <w:lang w:val="it-IT" w:eastAsia="it-IT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</w:p>
    <w:p w:rsidR="00627084" w:rsidRPr="004504AC" w:rsidRDefault="00693F03">
      <w:pPr>
        <w:suppressAutoHyphens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it-IT"/>
        </w:rPr>
      </w:pPr>
      <w:r w:rsidRPr="004504AC">
        <w:rPr>
          <w:rFonts w:ascii="Arial" w:eastAsia="Times New Roman" w:hAnsi="Arial" w:cs="Arial"/>
          <w:b/>
          <w:bCs/>
          <w:color w:val="000000"/>
          <w:lang w:eastAsia="it-IT"/>
        </w:rPr>
        <w:t>PROTECTOR</w:t>
      </w:r>
    </w:p>
    <w:p w:rsidR="00627084" w:rsidRPr="004504AC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504AC">
        <w:rPr>
          <w:rFonts w:ascii="Arial" w:eastAsia="Times New Roman" w:hAnsi="Arial" w:cs="Arial"/>
          <w:b/>
          <w:bCs/>
          <w:color w:val="000000"/>
          <w:lang w:eastAsia="it-IT"/>
        </w:rPr>
        <w:t>PROTECTing places of wORship</w:t>
      </w:r>
    </w:p>
    <w:p w:rsidR="00627084" w:rsidRPr="004504AC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4504AC">
        <w:rPr>
          <w:rFonts w:ascii="Arial" w:eastAsia="Times New Roman" w:hAnsi="Arial" w:cs="Arial"/>
          <w:color w:val="000000"/>
          <w:u w:val="single"/>
          <w:lang w:eastAsia="it-IT"/>
        </w:rPr>
        <w:t>Finanziamento</w:t>
      </w:r>
      <w:proofErr w:type="spellEnd"/>
      <w:r w:rsidRPr="004504AC">
        <w:rPr>
          <w:rFonts w:ascii="Arial" w:eastAsia="Times New Roman" w:hAnsi="Arial" w:cs="Arial"/>
          <w:color w:val="000000"/>
          <w:u w:val="single"/>
          <w:lang w:eastAsia="it-IT"/>
        </w:rPr>
        <w:t xml:space="preserve"> </w:t>
      </w:r>
      <w:proofErr w:type="spellStart"/>
      <w:r w:rsidRPr="004504AC">
        <w:rPr>
          <w:rFonts w:ascii="Arial" w:eastAsia="Times New Roman" w:hAnsi="Arial" w:cs="Arial"/>
          <w:color w:val="000000"/>
          <w:u w:val="single"/>
          <w:lang w:eastAsia="it-IT"/>
        </w:rPr>
        <w:t>Ue</w:t>
      </w:r>
      <w:proofErr w:type="spellEnd"/>
      <w:r w:rsidRPr="004504AC">
        <w:rPr>
          <w:rFonts w:ascii="Arial" w:eastAsia="Times New Roman" w:hAnsi="Arial" w:cs="Arial"/>
          <w:color w:val="000000"/>
          <w:u w:val="single"/>
          <w:lang w:eastAsia="it-IT"/>
        </w:rPr>
        <w:t xml:space="preserve"> a FBK</w:t>
      </w:r>
      <w:r w:rsidRPr="004504AC">
        <w:rPr>
          <w:rFonts w:ascii="Arial" w:eastAsia="Times New Roman" w:hAnsi="Arial" w:cs="Arial"/>
          <w:color w:val="000000"/>
          <w:lang w:eastAsia="it-IT"/>
        </w:rPr>
        <w:t>: €</w:t>
      </w:r>
      <w:r w:rsidR="00AA7C01">
        <w:rPr>
          <w:rFonts w:ascii="Arial" w:eastAsia="Times New Roman" w:hAnsi="Arial" w:cs="Arial"/>
          <w:color w:val="000000"/>
          <w:lang w:eastAsia="it-IT"/>
        </w:rPr>
        <w:t xml:space="preserve"> </w:t>
      </w:r>
      <w:r w:rsidRPr="004504AC">
        <w:rPr>
          <w:rFonts w:ascii="Arial" w:eastAsia="Times New Roman" w:hAnsi="Arial" w:cs="Arial"/>
          <w:color w:val="000000"/>
          <w:lang w:eastAsia="it-IT"/>
        </w:rPr>
        <w:t>511,353.00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lang w:val="it-IT" w:eastAsia="it-IT"/>
        </w:rPr>
        <w:t xml:space="preserve">Il progetto mira a migliorare in modo significativo le strategie di protezione dei luoghi di culto in Europa, attraverso il coordinamento, la cooperazione e la comunicazione tra forze dell'ordine, autorità pubbliche, enti religiosi, mondo della ricerca e della formazione. </w:t>
      </w:r>
      <w:proofErr w:type="gramStart"/>
      <w:r>
        <w:rPr>
          <w:rFonts w:ascii="Arial" w:eastAsia="Times New Roman" w:hAnsi="Arial" w:cs="Arial"/>
          <w:color w:val="000000"/>
          <w:lang w:val="it-IT" w:eastAsia="it-IT"/>
        </w:rPr>
        <w:t>E’</w:t>
      </w:r>
      <w:proofErr w:type="gramEnd"/>
      <w:r>
        <w:rPr>
          <w:rFonts w:ascii="Arial" w:eastAsia="Times New Roman" w:hAnsi="Arial" w:cs="Arial"/>
          <w:color w:val="000000"/>
          <w:lang w:val="it-IT" w:eastAsia="it-IT"/>
        </w:rPr>
        <w:t xml:space="preserve"> co-finanziato dall'ISFP </w:t>
      </w:r>
      <w:proofErr w:type="spellStart"/>
      <w:r>
        <w:rPr>
          <w:rFonts w:ascii="Arial" w:eastAsia="Times New Roman" w:hAnsi="Arial" w:cs="Arial"/>
          <w:color w:val="000000"/>
          <w:lang w:val="it-IT" w:eastAsia="it-IT"/>
        </w:rPr>
        <w:t>Programme</w:t>
      </w:r>
      <w:proofErr w:type="spellEnd"/>
      <w:r>
        <w:rPr>
          <w:rFonts w:ascii="Arial" w:eastAsia="Times New Roman" w:hAnsi="Arial" w:cs="Arial"/>
          <w:color w:val="000000"/>
          <w:lang w:val="it-IT" w:eastAsia="it-IT"/>
        </w:rPr>
        <w:t xml:space="preserve"> del </w:t>
      </w:r>
      <w:proofErr w:type="spellStart"/>
      <w:r>
        <w:rPr>
          <w:rFonts w:ascii="Arial" w:eastAsia="Times New Roman" w:hAnsi="Arial" w:cs="Arial"/>
          <w:color w:val="000000"/>
          <w:lang w:val="it-IT" w:eastAsia="it-IT"/>
        </w:rPr>
        <w:t>Directorate</w:t>
      </w:r>
      <w:proofErr w:type="spellEnd"/>
      <w:r>
        <w:rPr>
          <w:rFonts w:ascii="Arial" w:eastAsia="Times New Roman" w:hAnsi="Arial" w:cs="Arial"/>
          <w:color w:val="000000"/>
          <w:lang w:val="it-IT" w:eastAsia="it-IT"/>
        </w:rPr>
        <w:t xml:space="preserve">-General for Migration and Home Affairs della Commissione europea. 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>DINoS5G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bCs/>
          <w:color w:val="000000"/>
          <w:lang w:eastAsia="it-IT"/>
        </w:rPr>
        <w:t>Diagnostic Integrated Networks of Satellite and 5G</w:t>
      </w:r>
    </w:p>
    <w:p w:rsidR="00627084" w:rsidRDefault="00693F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u w:val="single"/>
          <w:lang w:val="it-IT" w:eastAsia="it-IT"/>
        </w:rPr>
        <w:t xml:space="preserve">Finanziamento </w:t>
      </w:r>
      <w:r w:rsidR="00921BC2">
        <w:rPr>
          <w:rFonts w:ascii="Arial" w:eastAsia="Times New Roman" w:hAnsi="Arial" w:cs="Arial"/>
          <w:color w:val="000000"/>
          <w:u w:val="single"/>
          <w:lang w:val="it-IT" w:eastAsia="it-IT"/>
        </w:rPr>
        <w:t>ESA</w:t>
      </w:r>
      <w:r>
        <w:rPr>
          <w:rFonts w:ascii="Arial" w:eastAsia="Times New Roman" w:hAnsi="Arial" w:cs="Arial"/>
          <w:color w:val="000000"/>
          <w:u w:val="single"/>
          <w:lang w:val="it-IT" w:eastAsia="it-IT"/>
        </w:rPr>
        <w:t xml:space="preserve"> a FBK</w:t>
      </w:r>
      <w:r>
        <w:rPr>
          <w:rFonts w:ascii="Arial" w:eastAsia="Times New Roman" w:hAnsi="Arial" w:cs="Arial"/>
          <w:color w:val="000000"/>
          <w:lang w:val="it-IT" w:eastAsia="it-IT"/>
        </w:rPr>
        <w:t xml:space="preserve">: € </w:t>
      </w:r>
      <w:r>
        <w:rPr>
          <w:rFonts w:ascii="Arial" w:eastAsia="Times New Roman" w:hAnsi="Arial" w:cs="Arial"/>
          <w:color w:val="000000"/>
          <w:sz w:val="20"/>
          <w:lang w:val="it-IT" w:eastAsia="it-IT"/>
        </w:rPr>
        <w:t>180,371.00</w:t>
      </w:r>
    </w:p>
    <w:p w:rsidR="00627084" w:rsidRPr="004504AC" w:rsidRDefault="00693F03">
      <w:pPr>
        <w:suppressAutoHyphens w:val="0"/>
        <w:spacing w:after="0" w:line="240" w:lineRule="auto"/>
        <w:rPr>
          <w:lang w:val="it-IT"/>
        </w:rPr>
      </w:pPr>
      <w:r>
        <w:rPr>
          <w:rFonts w:ascii="Arial" w:eastAsia="Times New Roman" w:hAnsi="Arial" w:cs="Arial"/>
          <w:color w:val="000000"/>
          <w:lang w:val="it-IT" w:eastAsia="it-IT"/>
        </w:rPr>
        <w:t xml:space="preserve">L'obiettivo del progetto è sviluppare una soluzione tecnologica innovativa per la manutenzione intelligente dell’infrastruttura ferroviaria (partner capofila del progetto è </w:t>
      </w:r>
      <w:r w:rsidR="00C51D9F">
        <w:rPr>
          <w:rFonts w:ascii="Arial" w:eastAsia="Times New Roman" w:hAnsi="Arial" w:cs="Arial"/>
          <w:color w:val="000000"/>
          <w:lang w:val="it-IT" w:eastAsia="it-IT"/>
        </w:rPr>
        <w:t>RFI), volta a</w:t>
      </w:r>
      <w:r>
        <w:rPr>
          <w:rFonts w:ascii="Arial" w:eastAsia="Times New Roman" w:hAnsi="Arial" w:cs="Arial"/>
          <w:color w:val="000000"/>
          <w:lang w:val="it-IT" w:eastAsia="it-IT"/>
        </w:rPr>
        <w:t xml:space="preserve"> incrementarne la disponibilità, attraverso l’integrazione delle reti di comunicazione terrestre 5G e satellitari. La realizzazione di reti di telecomunicazione più resilienti a servizio dell’infrastruttura ferroviaria permetteranno un forte incremento della capacità di supervisione sull’intera rete ferroviaria. </w:t>
      </w:r>
    </w:p>
    <w:p w:rsidR="00627084" w:rsidRPr="004504AC" w:rsidRDefault="00627084">
      <w:pPr>
        <w:jc w:val="both"/>
        <w:rPr>
          <w:lang w:val="it-IT"/>
        </w:rPr>
      </w:pPr>
    </w:p>
    <w:sectPr w:rsidR="00627084" w:rsidRPr="004504AC">
      <w:headerReference w:type="default" r:id="rId10"/>
      <w:footerReference w:type="default" r:id="rId11"/>
      <w:pgSz w:w="12240" w:h="15840"/>
      <w:pgMar w:top="1417" w:right="1134" w:bottom="1134" w:left="1134" w:header="720" w:footer="446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2A0" w:rsidRDefault="00C132A0">
      <w:pPr>
        <w:spacing w:after="0" w:line="240" w:lineRule="auto"/>
      </w:pPr>
      <w:r>
        <w:separator/>
      </w:r>
    </w:p>
  </w:endnote>
  <w:endnote w:type="continuationSeparator" w:id="0">
    <w:p w:rsidR="00C132A0" w:rsidRDefault="00C1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084" w:rsidRDefault="00627084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Look w:val="04A0" w:firstRow="1" w:lastRow="0" w:firstColumn="1" w:lastColumn="0" w:noHBand="0" w:noVBand="1"/>
    </w:tblPr>
    <w:tblGrid>
      <w:gridCol w:w="4675"/>
      <w:gridCol w:w="5585"/>
    </w:tblGrid>
    <w:tr w:rsidR="00627084" w:rsidRPr="0078734C">
      <w:trPr>
        <w:trHeight w:val="706"/>
      </w:trPr>
      <w:tc>
        <w:tcPr>
          <w:tcW w:w="4675" w:type="dxa"/>
          <w:tcBorders>
            <w:top w:val="nil"/>
            <w:left w:val="nil"/>
            <w:bottom w:val="nil"/>
            <w:right w:val="nil"/>
          </w:tcBorders>
        </w:tcPr>
        <w:p w:rsidR="00627084" w:rsidRDefault="00C132A0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78734C">
            <w:rPr>
              <w:lang w:val="it-IT"/>
            </w:rPr>
            <w:instrText xml:space="preserve"> HYPERLINK "https://magazine.fbk.eu/en/author/viviana-lupi/" \h </w:instrText>
          </w:r>
          <w:r>
            <w:fldChar w:fldCharType="separate"/>
          </w:r>
          <w:r w:rsidR="00693F03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:rsidR="00627084" w:rsidRDefault="00693F03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0461 314617</w:t>
          </w:r>
        </w:p>
        <w:p w:rsidR="00627084" w:rsidRDefault="00693F03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C132A0">
            <w:fldChar w:fldCharType="begin"/>
          </w:r>
          <w:r w:rsidR="00C132A0" w:rsidRPr="0078734C">
            <w:rPr>
              <w:lang w:val="it-IT"/>
            </w:rPr>
            <w:instrText xml:space="preserve"> HYPERLINK "mailto:lupi@fbk.eu" \h </w:instrText>
          </w:r>
          <w:r w:rsidR="00C132A0">
            <w:fldChar w:fldCharType="separate"/>
          </w: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C132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4" w:type="dxa"/>
          <w:tcBorders>
            <w:top w:val="nil"/>
            <w:left w:val="nil"/>
            <w:bottom w:val="nil"/>
            <w:right w:val="nil"/>
          </w:tcBorders>
        </w:tcPr>
        <w:p w:rsidR="00627084" w:rsidRDefault="00693F03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 </w:t>
          </w:r>
          <w:hyperlink r:id="rId1">
            <w:r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0461 312482</w:t>
            </w:r>
          </w:hyperlink>
        </w:p>
        <w:p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media@fbk.eu</w:t>
          </w:r>
        </w:p>
        <w:p w:rsidR="00627084" w:rsidRDefault="00693F03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:rsidR="00627084" w:rsidRDefault="00693F03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>
      <w:rPr>
        <w:rFonts w:ascii="Arial" w:hAnsi="Arial" w:cs="Arial"/>
        <w:noProof/>
        <w:color w:val="808080" w:themeColor="background1" w:themeShade="80"/>
        <w:sz w:val="17"/>
        <w:szCs w:val="17"/>
        <w:lang w:val="it-IT" w:eastAsia="it-IT"/>
      </w:rPr>
      <mc:AlternateContent>
        <mc:Choice Requires="wps">
          <w:drawing>
            <wp:anchor distT="0" distB="0" distL="0" distR="0" simplePos="0" relativeHeight="4" behindDoc="1" locked="0" layoutInCell="1" allowOverlap="1" wp14:anchorId="7D359A50">
              <wp:simplePos x="0" y="0"/>
              <wp:positionH relativeFrom="page">
                <wp:posOffset>-1270</wp:posOffset>
              </wp:positionH>
              <wp:positionV relativeFrom="page">
                <wp:posOffset>9869805</wp:posOffset>
              </wp:positionV>
              <wp:extent cx="7787640" cy="313690"/>
              <wp:effectExtent l="0" t="0" r="5080" b="0"/>
              <wp:wrapNone/>
              <wp:docPr id="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160" cy="313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23" fillcolor="#d9d9d9" stroked="f" style="position:absolute;margin-left:-0.1pt;margin-top:777.15pt;width:613.1pt;height:24.6pt;mso-position-horizontal-relative:page;mso-position-vertical-relative:page" wp14:anchorId="7D359A50">
              <w10:wrap type="none"/>
              <v:fill o:detectmouseclick="t" type="solid" color2="#262626"/>
              <v:stroke color="#3465a4" weight="9360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2A0" w:rsidRDefault="00C132A0">
      <w:pPr>
        <w:spacing w:after="0" w:line="240" w:lineRule="auto"/>
      </w:pPr>
      <w:r>
        <w:separator/>
      </w:r>
    </w:p>
  </w:footnote>
  <w:footnote w:type="continuationSeparator" w:id="0">
    <w:p w:rsidR="00C132A0" w:rsidRDefault="00C13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Look w:val="04A0" w:firstRow="1" w:lastRow="0" w:firstColumn="1" w:lastColumn="0" w:noHBand="0" w:noVBand="1"/>
    </w:tblPr>
    <w:tblGrid>
      <w:gridCol w:w="1872"/>
      <w:gridCol w:w="1868"/>
      <w:gridCol w:w="1872"/>
      <w:gridCol w:w="4648"/>
    </w:tblGrid>
    <w:tr w:rsidR="00627084">
      <w:trPr>
        <w:trHeight w:val="1260"/>
      </w:trPr>
      <w:tc>
        <w:tcPr>
          <w:tcW w:w="187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627084" w:rsidRDefault="00693F03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714375" cy="605155"/>
                <wp:effectExtent l="0" t="0" r="0" b="0"/>
                <wp:docPr id="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8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627084" w:rsidRDefault="00627084">
          <w:pPr>
            <w:pStyle w:val="Intestazione"/>
            <w:rPr>
              <w:lang w:val="it-IT"/>
            </w:rPr>
          </w:pPr>
        </w:p>
      </w:tc>
      <w:tc>
        <w:tcPr>
          <w:tcW w:w="187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627084" w:rsidRDefault="00627084">
          <w:pPr>
            <w:pStyle w:val="Intestazione"/>
            <w:rPr>
              <w:lang w:val="it-IT"/>
            </w:rPr>
          </w:pPr>
        </w:p>
      </w:tc>
      <w:tc>
        <w:tcPr>
          <w:tcW w:w="4648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627084" w:rsidRDefault="00627084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:rsidR="00627084" w:rsidRDefault="00693F03">
    <w:pPr>
      <w:pStyle w:val="Intestazione"/>
      <w:rPr>
        <w:lang w:val="it-IT"/>
      </w:rPr>
    </w:pPr>
    <w:r>
      <w:rPr>
        <w:noProof/>
        <w:lang w:val="it-IT" w:eastAsia="it-IT"/>
      </w:rPr>
      <mc:AlternateContent>
        <mc:Choice Requires="wps">
          <w:drawing>
            <wp:anchor distT="0" distB="0" distL="0" distR="0" simplePos="0" relativeHeight="7" behindDoc="1" locked="0" layoutInCell="1" allowOverlap="1" wp14:anchorId="6A2E90F3">
              <wp:simplePos x="0" y="0"/>
              <wp:positionH relativeFrom="page">
                <wp:posOffset>-283210</wp:posOffset>
              </wp:positionH>
              <wp:positionV relativeFrom="page">
                <wp:align>top</wp:align>
              </wp:positionV>
              <wp:extent cx="8300085" cy="263525"/>
              <wp:effectExtent l="0" t="0" r="7620" b="4445"/>
              <wp:wrapNone/>
              <wp:docPr id="2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9440" cy="262800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4" fillcolor="#0758a8" stroked="f" style="position:absolute;margin-left:-22.3pt;margin-top:0pt;width:653.45pt;height:20.65pt;mso-position-horizontal-relative:page;mso-position-vertical:top;mso-position-vertical-relative:page" wp14:anchorId="6A2E90F3">
              <w10:wrap type="none"/>
              <v:fill o:detectmouseclick="t" type="solid" color2="#f8a757"/>
              <v:stroke color="#3465a4" weight="9360" joinstyle="round" endcap="fla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84"/>
    <w:rsid w:val="00001756"/>
    <w:rsid w:val="000335A9"/>
    <w:rsid w:val="004504AC"/>
    <w:rsid w:val="00627084"/>
    <w:rsid w:val="00693F03"/>
    <w:rsid w:val="006A7B25"/>
    <w:rsid w:val="0078734C"/>
    <w:rsid w:val="00791C46"/>
    <w:rsid w:val="00921BC2"/>
    <w:rsid w:val="00AA7C01"/>
    <w:rsid w:val="00B8492A"/>
    <w:rsid w:val="00C132A0"/>
    <w:rsid w:val="00C51D9F"/>
    <w:rsid w:val="00D02948"/>
    <w:rsid w:val="00D67703"/>
    <w:rsid w:val="00F0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85258"/>
  <w15:docId w15:val="{757EA0B0-48A6-485D-B96A-1234D057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8238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82385"/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D82385"/>
    <w:rPr>
      <w:color w:val="605E5C"/>
      <w:shd w:val="clear" w:color="auto" w:fill="E1DFDD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qFormat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E96DDD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96DDD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028B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96DDD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E96DDD"/>
    <w:rPr>
      <w:b/>
      <w:bCs/>
    </w:rPr>
  </w:style>
  <w:style w:type="paragraph" w:customStyle="1" w:styleId="MDPI42tablebody">
    <w:name w:val="MDPI_4.2_table_body"/>
    <w:qFormat/>
    <w:rsid w:val="002843EA"/>
    <w:pPr>
      <w:snapToGrid w:val="0"/>
      <w:spacing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en-US"/>
    </w:rPr>
  </w:style>
  <w:style w:type="paragraph" w:customStyle="1" w:styleId="MDPI51figurecaption">
    <w:name w:val="MDPI_5.1_figure_caption"/>
    <w:basedOn w:val="Normale"/>
    <w:qFormat/>
    <w:rsid w:val="002843EA"/>
    <w:pPr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31text">
    <w:name w:val="MDPI_3.1_text"/>
    <w:qFormat/>
    <w:rsid w:val="002843EA"/>
    <w:pPr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52figure">
    <w:name w:val="MDPI_5.2_figure"/>
    <w:qFormat/>
    <w:rsid w:val="00E53AE8"/>
    <w:pPr>
      <w:jc w:val="center"/>
    </w:pPr>
    <w:rPr>
      <w:rFonts w:ascii="Palatino Linotype" w:eastAsia="Times New Roman" w:hAnsi="Palatino Linotype" w:cs="Times New Roman"/>
      <w:color w:val="000000"/>
      <w:sz w:val="24"/>
      <w:szCs w:val="20"/>
      <w:lang w:eastAsia="de-DE" w:bidi="en-US"/>
    </w:rPr>
  </w:style>
  <w:style w:type="table" w:styleId="Grigliatabella">
    <w:name w:val="Table Grid"/>
    <w:basedOn w:val="Tabellanormale"/>
    <w:uiPriority w:val="39"/>
    <w:rsid w:val="00D82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azine.fbk.eu/it/news/una-nuova-organizzazione-per-la-fondazione-bruno-kessle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bk.eu/it/digital-societ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agazine.fbk.eu/it/news/una-nuova-organizzazione-per-la-fondazione-bruno-kessle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+39%200461%2031948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2ABE0D6-7235-45A3-90FE-9CEAC618B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dc:description/>
  <cp:lastModifiedBy>Viviana Lupi</cp:lastModifiedBy>
  <cp:revision>11</cp:revision>
  <cp:lastPrinted>2019-05-15T13:05:00Z</cp:lastPrinted>
  <dcterms:created xsi:type="dcterms:W3CDTF">2021-01-27T12:45:00Z</dcterms:created>
  <dcterms:modified xsi:type="dcterms:W3CDTF">2021-01-28T08:37:00Z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